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69" w:rsidRPr="00D80769" w:rsidRDefault="00D80769" w:rsidP="00D80769">
      <w:pPr>
        <w:widowControl/>
        <w:wordWrap w:val="0"/>
        <w:spacing w:before="100" w:beforeAutospacing="1" w:after="100" w:afterAutospacing="1"/>
        <w:jc w:val="center"/>
        <w:outlineLvl w:val="0"/>
        <w:rPr>
          <w:rFonts w:ascii="Tahoma" w:eastAsia="宋体" w:hAnsi="Tahoma" w:cs="Tahoma"/>
          <w:b/>
          <w:bCs/>
          <w:color w:val="333333"/>
          <w:kern w:val="36"/>
          <w:sz w:val="42"/>
          <w:szCs w:val="42"/>
        </w:rPr>
      </w:pPr>
      <w:r w:rsidRPr="00D80769">
        <w:rPr>
          <w:rFonts w:ascii="Tahoma" w:eastAsia="宋体" w:hAnsi="Tahoma" w:cs="Tahoma"/>
          <w:b/>
          <w:bCs/>
          <w:color w:val="333333"/>
          <w:kern w:val="36"/>
          <w:sz w:val="42"/>
          <w:szCs w:val="42"/>
        </w:rPr>
        <w:t>湖南省总工会办公室关于贯彻落实《中湘工办发〔</w:t>
      </w:r>
      <w:r w:rsidRPr="00D80769">
        <w:rPr>
          <w:rFonts w:ascii="Tahoma" w:eastAsia="宋体" w:hAnsi="Tahoma" w:cs="Tahoma"/>
          <w:b/>
          <w:bCs/>
          <w:color w:val="333333"/>
          <w:kern w:val="36"/>
          <w:sz w:val="42"/>
          <w:szCs w:val="42"/>
        </w:rPr>
        <w:t>2015</w:t>
      </w:r>
      <w:r w:rsidRPr="00D80769">
        <w:rPr>
          <w:rFonts w:ascii="Tahoma" w:eastAsia="宋体" w:hAnsi="Tahoma" w:cs="Tahoma"/>
          <w:b/>
          <w:bCs/>
          <w:color w:val="333333"/>
          <w:kern w:val="36"/>
          <w:sz w:val="42"/>
          <w:szCs w:val="42"/>
        </w:rPr>
        <w:t>〕</w:t>
      </w:r>
      <w:r w:rsidRPr="00D80769">
        <w:rPr>
          <w:rFonts w:ascii="Tahoma" w:eastAsia="宋体" w:hAnsi="Tahoma" w:cs="Tahoma"/>
          <w:b/>
          <w:bCs/>
          <w:color w:val="333333"/>
          <w:kern w:val="36"/>
          <w:sz w:val="42"/>
          <w:szCs w:val="42"/>
        </w:rPr>
        <w:t>4</w:t>
      </w:r>
      <w:r w:rsidRPr="00D80769">
        <w:rPr>
          <w:rFonts w:ascii="Tahoma" w:eastAsia="宋体" w:hAnsi="Tahoma" w:cs="Tahoma"/>
          <w:b/>
          <w:bCs/>
          <w:color w:val="333333"/>
          <w:kern w:val="36"/>
          <w:sz w:val="42"/>
          <w:szCs w:val="42"/>
        </w:rPr>
        <w:t>号华全国总工会办公厅关于加强基层工会经费收支管理的通知》的若干意见</w:t>
      </w:r>
    </w:p>
    <w:tbl>
      <w:tblPr>
        <w:tblW w:w="4850" w:type="pct"/>
        <w:jc w:val="center"/>
        <w:tblCellSpacing w:w="15" w:type="dxa"/>
        <w:tblCellMar>
          <w:top w:w="15" w:type="dxa"/>
          <w:left w:w="15" w:type="dxa"/>
          <w:bottom w:w="15" w:type="dxa"/>
          <w:right w:w="15" w:type="dxa"/>
        </w:tblCellMar>
        <w:tblLook w:val="04A0" w:firstRow="1" w:lastRow="0" w:firstColumn="1" w:lastColumn="0" w:noHBand="0" w:noVBand="1"/>
      </w:tblPr>
      <w:tblGrid>
        <w:gridCol w:w="2145"/>
        <w:gridCol w:w="3554"/>
        <w:gridCol w:w="2445"/>
      </w:tblGrid>
      <w:tr w:rsidR="00D80769" w:rsidRPr="00D80769" w:rsidTr="00D80769">
        <w:trPr>
          <w:tblCellSpacing w:w="15" w:type="dxa"/>
          <w:jc w:val="center"/>
        </w:trPr>
        <w:tc>
          <w:tcPr>
            <w:tcW w:w="2100" w:type="dxa"/>
            <w:vAlign w:val="center"/>
            <w:hideMark/>
          </w:tcPr>
          <w:p w:rsidR="00D80769" w:rsidRPr="00D80769" w:rsidRDefault="00D80769" w:rsidP="00D80769">
            <w:pPr>
              <w:widowControl/>
              <w:jc w:val="left"/>
              <w:rPr>
                <w:rFonts w:ascii="Tahoma" w:eastAsia="宋体" w:hAnsi="Tahoma" w:cs="Tahoma"/>
                <w:color w:val="333333"/>
                <w:kern w:val="0"/>
                <w:sz w:val="18"/>
                <w:szCs w:val="18"/>
              </w:rPr>
            </w:pPr>
            <w:r w:rsidRPr="00D80769">
              <w:rPr>
                <w:rFonts w:ascii="Tahoma" w:eastAsia="宋体" w:hAnsi="Tahoma" w:cs="Tahoma"/>
                <w:color w:val="333333"/>
                <w:kern w:val="0"/>
                <w:sz w:val="18"/>
                <w:szCs w:val="18"/>
              </w:rPr>
              <w:t>[</w:t>
            </w:r>
            <w:r w:rsidRPr="00D80769">
              <w:rPr>
                <w:rFonts w:ascii="Tahoma" w:eastAsia="宋体" w:hAnsi="Tahoma" w:cs="Tahoma"/>
                <w:color w:val="333333"/>
                <w:kern w:val="0"/>
                <w:sz w:val="18"/>
                <w:szCs w:val="18"/>
              </w:rPr>
              <w:t>日期：</w:t>
            </w:r>
            <w:r w:rsidRPr="00D80769">
              <w:rPr>
                <w:rFonts w:ascii="Tahoma" w:eastAsia="宋体" w:hAnsi="Tahoma" w:cs="Tahoma"/>
                <w:color w:val="333333"/>
                <w:kern w:val="0"/>
                <w:sz w:val="18"/>
                <w:szCs w:val="18"/>
              </w:rPr>
              <w:t>2015-09-24]</w:t>
            </w:r>
          </w:p>
        </w:tc>
        <w:tc>
          <w:tcPr>
            <w:tcW w:w="0" w:type="auto"/>
            <w:vAlign w:val="center"/>
            <w:hideMark/>
          </w:tcPr>
          <w:p w:rsidR="00D80769" w:rsidRPr="00D80769" w:rsidRDefault="00D80769" w:rsidP="00D80769">
            <w:pPr>
              <w:widowControl/>
              <w:jc w:val="center"/>
              <w:rPr>
                <w:rFonts w:ascii="Tahoma" w:eastAsia="宋体" w:hAnsi="Tahoma" w:cs="Tahoma"/>
                <w:color w:val="333333"/>
                <w:kern w:val="0"/>
                <w:sz w:val="18"/>
                <w:szCs w:val="18"/>
              </w:rPr>
            </w:pPr>
            <w:r w:rsidRPr="00D80769">
              <w:rPr>
                <w:rFonts w:ascii="Tahoma" w:eastAsia="宋体" w:hAnsi="Tahoma" w:cs="Tahoma"/>
                <w:color w:val="333333"/>
                <w:kern w:val="0"/>
                <w:sz w:val="18"/>
                <w:szCs w:val="18"/>
              </w:rPr>
              <w:t>来源：</w:t>
            </w:r>
            <w:r w:rsidRPr="00D80769">
              <w:rPr>
                <w:rFonts w:ascii="Tahoma" w:eastAsia="宋体" w:hAnsi="Tahoma" w:cs="Tahoma"/>
                <w:color w:val="333333"/>
                <w:kern w:val="0"/>
                <w:sz w:val="18"/>
                <w:szCs w:val="18"/>
              </w:rPr>
              <w:t xml:space="preserve">  </w:t>
            </w:r>
            <w:r w:rsidRPr="00D80769">
              <w:rPr>
                <w:rFonts w:ascii="Tahoma" w:eastAsia="宋体" w:hAnsi="Tahoma" w:cs="Tahoma"/>
                <w:color w:val="333333"/>
                <w:kern w:val="0"/>
                <w:sz w:val="18"/>
                <w:szCs w:val="18"/>
              </w:rPr>
              <w:t>作者：</w:t>
            </w:r>
          </w:p>
        </w:tc>
        <w:tc>
          <w:tcPr>
            <w:tcW w:w="2400" w:type="dxa"/>
            <w:vAlign w:val="center"/>
            <w:hideMark/>
          </w:tcPr>
          <w:p w:rsidR="00D80769" w:rsidRPr="00D80769" w:rsidRDefault="00D80769" w:rsidP="00D80769">
            <w:pPr>
              <w:widowControl/>
              <w:jc w:val="right"/>
              <w:rPr>
                <w:rFonts w:ascii="Tahoma" w:eastAsia="宋体" w:hAnsi="Tahoma" w:cs="Tahoma"/>
                <w:color w:val="333333"/>
                <w:kern w:val="0"/>
                <w:sz w:val="18"/>
                <w:szCs w:val="18"/>
              </w:rPr>
            </w:pPr>
            <w:r w:rsidRPr="00D80769">
              <w:rPr>
                <w:rFonts w:ascii="Tahoma" w:eastAsia="宋体" w:hAnsi="Tahoma" w:cs="Tahoma"/>
                <w:color w:val="333333"/>
                <w:kern w:val="0"/>
                <w:sz w:val="18"/>
                <w:szCs w:val="18"/>
              </w:rPr>
              <w:t>[</w:t>
            </w:r>
            <w:r w:rsidRPr="00D80769">
              <w:rPr>
                <w:rFonts w:ascii="Tahoma" w:eastAsia="宋体" w:hAnsi="Tahoma" w:cs="Tahoma"/>
                <w:color w:val="333333"/>
                <w:kern w:val="0"/>
                <w:sz w:val="18"/>
                <w:szCs w:val="18"/>
              </w:rPr>
              <w:t>字体：</w:t>
            </w:r>
            <w:hyperlink r:id="rId5" w:history="1">
              <w:r w:rsidRPr="00D80769">
                <w:rPr>
                  <w:rFonts w:ascii="Tahoma" w:eastAsia="宋体" w:hAnsi="Tahoma" w:cs="Tahoma"/>
                  <w:color w:val="41519A"/>
                  <w:kern w:val="0"/>
                  <w:sz w:val="18"/>
                  <w:szCs w:val="18"/>
                </w:rPr>
                <w:t>大</w:t>
              </w:r>
            </w:hyperlink>
            <w:r w:rsidRPr="00D80769">
              <w:rPr>
                <w:rFonts w:ascii="Tahoma" w:eastAsia="宋体" w:hAnsi="Tahoma" w:cs="Tahoma"/>
                <w:color w:val="333333"/>
                <w:kern w:val="0"/>
                <w:sz w:val="18"/>
                <w:szCs w:val="18"/>
              </w:rPr>
              <w:t xml:space="preserve"> </w:t>
            </w:r>
            <w:hyperlink r:id="rId6" w:history="1">
              <w:r w:rsidRPr="00D80769">
                <w:rPr>
                  <w:rFonts w:ascii="Tahoma" w:eastAsia="宋体" w:hAnsi="Tahoma" w:cs="Tahoma"/>
                  <w:color w:val="41519A"/>
                  <w:kern w:val="0"/>
                  <w:sz w:val="18"/>
                  <w:szCs w:val="18"/>
                </w:rPr>
                <w:t>中</w:t>
              </w:r>
            </w:hyperlink>
            <w:r w:rsidRPr="00D80769">
              <w:rPr>
                <w:rFonts w:ascii="Tahoma" w:eastAsia="宋体" w:hAnsi="Tahoma" w:cs="Tahoma"/>
                <w:color w:val="333333"/>
                <w:kern w:val="0"/>
                <w:sz w:val="18"/>
                <w:szCs w:val="18"/>
              </w:rPr>
              <w:t xml:space="preserve"> </w:t>
            </w:r>
            <w:hyperlink r:id="rId7" w:history="1">
              <w:r w:rsidRPr="00D80769">
                <w:rPr>
                  <w:rFonts w:ascii="Tahoma" w:eastAsia="宋体" w:hAnsi="Tahoma" w:cs="Tahoma"/>
                  <w:color w:val="41519A"/>
                  <w:kern w:val="0"/>
                  <w:sz w:val="18"/>
                  <w:szCs w:val="18"/>
                </w:rPr>
                <w:t>小</w:t>
              </w:r>
            </w:hyperlink>
            <w:r w:rsidRPr="00D80769">
              <w:rPr>
                <w:rFonts w:ascii="Tahoma" w:eastAsia="宋体" w:hAnsi="Tahoma" w:cs="Tahoma"/>
                <w:color w:val="333333"/>
                <w:kern w:val="0"/>
                <w:sz w:val="18"/>
                <w:szCs w:val="18"/>
              </w:rPr>
              <w:t xml:space="preserve">] </w:t>
            </w:r>
          </w:p>
        </w:tc>
      </w:tr>
    </w:tbl>
    <w:p w:rsidR="00D80769" w:rsidRPr="00D80769" w:rsidRDefault="00D80769" w:rsidP="00D80769">
      <w:pPr>
        <w:widowControl/>
        <w:wordWrap w:val="0"/>
        <w:spacing w:before="100" w:beforeAutospacing="1" w:after="100" w:afterAutospacing="1"/>
        <w:jc w:val="center"/>
        <w:rPr>
          <w:rFonts w:ascii="Tahoma" w:eastAsia="宋体" w:hAnsi="Tahoma" w:cs="Tahoma"/>
          <w:color w:val="333333"/>
          <w:kern w:val="0"/>
          <w:sz w:val="30"/>
          <w:szCs w:val="30"/>
        </w:rPr>
      </w:pPr>
      <w:proofErr w:type="gramStart"/>
      <w:r w:rsidRPr="00D80769">
        <w:rPr>
          <w:rFonts w:ascii="仿宋_GB2312" w:eastAsia="仿宋_GB2312" w:hAnsi="Tahoma" w:cs="Tahoma" w:hint="eastAsia"/>
          <w:color w:val="333333"/>
          <w:kern w:val="0"/>
          <w:sz w:val="36"/>
          <w:szCs w:val="36"/>
        </w:rPr>
        <w:t>湘工办</w:t>
      </w:r>
      <w:proofErr w:type="gramEnd"/>
      <w:r w:rsidRPr="00D80769">
        <w:rPr>
          <w:rFonts w:ascii="仿宋_GB2312" w:eastAsia="仿宋_GB2312" w:hAnsi="Tahoma" w:cs="Tahoma" w:hint="eastAsia"/>
          <w:color w:val="333333"/>
          <w:kern w:val="0"/>
          <w:sz w:val="36"/>
          <w:szCs w:val="36"/>
        </w:rPr>
        <w:t>发〔2015〕4号</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各市州总工会、省直机关工会，</w:t>
      </w:r>
      <w:proofErr w:type="gramStart"/>
      <w:r w:rsidRPr="00D80769">
        <w:rPr>
          <w:rFonts w:ascii="仿宋_GB2312" w:eastAsia="仿宋_GB2312" w:hAnsi="Tahoma" w:cs="Tahoma" w:hint="eastAsia"/>
          <w:color w:val="333333"/>
          <w:kern w:val="0"/>
          <w:sz w:val="36"/>
          <w:szCs w:val="36"/>
        </w:rPr>
        <w:t>省产业</w:t>
      </w:r>
      <w:proofErr w:type="gramEnd"/>
      <w:r w:rsidRPr="00D80769">
        <w:rPr>
          <w:rFonts w:ascii="仿宋_GB2312" w:eastAsia="仿宋_GB2312" w:hAnsi="Tahoma" w:cs="Tahoma" w:hint="eastAsia"/>
          <w:color w:val="333333"/>
          <w:kern w:val="0"/>
          <w:sz w:val="36"/>
          <w:szCs w:val="36"/>
        </w:rPr>
        <w:t>工会，省直属基层工会工作委员会，各县（市、区）总工会：</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为进一步贯彻落实中央关于改进工作作风、密切联系群众的八项规定、省委关于改进工作作风密切联系群众的九条规定精神，加强基层工会财务管理，规范工会经费收支活动，使工会经费更好地服务职工、服务基层、服务大局。现就我省贯彻落实《中华全国总工会办公厅关于加强基层工会经费收支管理的通知》（总工办发〔2014〕23号）和《关于&lt;关于加强基层工会经费收支管理的通知&gt;的补充通知》（</w:t>
      </w:r>
      <w:proofErr w:type="gramStart"/>
      <w:r w:rsidRPr="00D80769">
        <w:rPr>
          <w:rFonts w:ascii="仿宋_GB2312" w:eastAsia="仿宋_GB2312" w:hAnsi="Tahoma" w:cs="Tahoma" w:hint="eastAsia"/>
          <w:color w:val="333333"/>
          <w:kern w:val="0"/>
          <w:sz w:val="36"/>
          <w:szCs w:val="36"/>
        </w:rPr>
        <w:t>工财发</w:t>
      </w:r>
      <w:proofErr w:type="gramEnd"/>
      <w:r w:rsidRPr="00D80769">
        <w:rPr>
          <w:rFonts w:ascii="仿宋_GB2312" w:eastAsia="仿宋_GB2312" w:hAnsi="Tahoma" w:cs="Tahoma" w:hint="eastAsia"/>
          <w:color w:val="333333"/>
          <w:kern w:val="0"/>
          <w:sz w:val="36"/>
          <w:szCs w:val="36"/>
        </w:rPr>
        <w:t>〔2014〕69号）(以下简称《通知》)提出如下意见，请遵照执行。</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一、基本原则</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全国总工会根据中央《关于改进工作作风、密切联系群众的八项规定》、《党政机关厉行节约反对浪费条</w:t>
      </w:r>
      <w:r w:rsidRPr="00D80769">
        <w:rPr>
          <w:rFonts w:ascii="仿宋_GB2312" w:eastAsia="仿宋_GB2312" w:hAnsi="Tahoma" w:cs="Tahoma" w:hint="eastAsia"/>
          <w:color w:val="333333"/>
          <w:kern w:val="0"/>
          <w:sz w:val="36"/>
          <w:szCs w:val="36"/>
        </w:rPr>
        <w:lastRenderedPageBreak/>
        <w:t>例》的精神制定了加强基层工会经费收支管理的一系列规定，这是推动各级工会组织切实改进作风、正风</w:t>
      </w:r>
      <w:proofErr w:type="gramStart"/>
      <w:r w:rsidRPr="00D80769">
        <w:rPr>
          <w:rFonts w:ascii="仿宋_GB2312" w:eastAsia="仿宋_GB2312" w:hAnsi="Tahoma" w:cs="Tahoma" w:hint="eastAsia"/>
          <w:color w:val="333333"/>
          <w:kern w:val="0"/>
          <w:sz w:val="36"/>
          <w:szCs w:val="36"/>
        </w:rPr>
        <w:t>肃</w:t>
      </w:r>
      <w:proofErr w:type="gramEnd"/>
      <w:r w:rsidRPr="00D80769">
        <w:rPr>
          <w:rFonts w:ascii="仿宋_GB2312" w:eastAsia="仿宋_GB2312" w:hAnsi="Tahoma" w:cs="Tahoma" w:hint="eastAsia"/>
          <w:color w:val="333333"/>
          <w:kern w:val="0"/>
          <w:sz w:val="36"/>
          <w:szCs w:val="36"/>
        </w:rPr>
        <w:t>纪、清除“四风”、强化服务的重要文件。贯彻落实好《通知》的精神，一要以认真学习贯彻中央关于改进作风的八项规定的一系列文件精神为总原则；二要坚持走中国特色社会主义工会发展道路的方针，突出工会工作服务广大职工群众和工会会员的正确方向，为职工群众办实事、做好事、解难事；三要勤俭节约，杜绝浪费，严格执行《通知》中明确的“八不准”规定，严格预算管理，使工会经费收支活动更加规范、有效，真正惠及广大职工群众和工会会员，不断增强基层工会组织的凝聚力。四要督促单位行政依法保障职工的正当福利，保障职工福利费真正用于职工福利方面。</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二、工会经费支出范围和标准</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一）职工教育相关经费的开支。根据《通知》关于“工会组织用工会经费给予优秀学员（包括自学）奖励”的规定，通过培训学习或自学提高了学历层次到本科及以上、获得或提高了职业技能技术等级等次、取得了与本职工作相关的专业技术执业资格的优秀学</w:t>
      </w:r>
      <w:r w:rsidRPr="00D80769">
        <w:rPr>
          <w:rFonts w:ascii="仿宋_GB2312" w:eastAsia="仿宋_GB2312" w:hAnsi="Tahoma" w:cs="Tahoma" w:hint="eastAsia"/>
          <w:color w:val="333333"/>
          <w:kern w:val="0"/>
          <w:sz w:val="36"/>
          <w:szCs w:val="36"/>
        </w:rPr>
        <w:lastRenderedPageBreak/>
        <w:t>员，可以按通知规定给予奖励，奖金标准不超过1500元/人次，对同一个获奖者只奖励一次。</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二）职工文体活动相关经费的开支。根据《通知》关于“工会组织用工会经费举办文艺汇演、体育比赛及奖励费”的规定，本级工会组织文娱、体育比赛，可按不超过参与人数30%给予适当奖励，每个奖项的奖金标准最高不超过400元/人次。参加县以上地方工会或产业工会组织的文体比赛，如上级工会要求统一服装的，可购买参赛服装，人均费用不超过500元。</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三）组织会员观看电影及开展春游秋游等工会集体活动相关费用的开支。根据《通知》关于“用会费组织会员观看电影、开展春游秋游等集体活动”规定，可每季度组织一次会员观看电影等集体活动。组织会员春游秋游活动的，应严格控制在单位所在城市，并当日往返。组织集体活动确需在外用餐的，可按照当地财政部门规定的差旅费中伙食补助标准安排工作餐或发放误餐费（早</w:t>
      </w:r>
      <w:proofErr w:type="gramStart"/>
      <w:r w:rsidRPr="00D80769">
        <w:rPr>
          <w:rFonts w:ascii="仿宋_GB2312" w:eastAsia="仿宋_GB2312" w:hAnsi="Tahoma" w:cs="Tahoma" w:hint="eastAsia"/>
          <w:color w:val="333333"/>
          <w:kern w:val="0"/>
          <w:sz w:val="36"/>
          <w:szCs w:val="36"/>
        </w:rPr>
        <w:t>中晚按</w:t>
      </w:r>
      <w:proofErr w:type="gramEnd"/>
      <w:r w:rsidRPr="00D80769">
        <w:rPr>
          <w:rFonts w:ascii="仿宋_GB2312" w:eastAsia="仿宋_GB2312" w:hAnsi="Tahoma" w:cs="Tahoma" w:hint="eastAsia"/>
          <w:color w:val="333333"/>
          <w:kern w:val="0"/>
          <w:sz w:val="36"/>
          <w:szCs w:val="36"/>
        </w:rPr>
        <w:t>20：40：40比例分配）。当会费不足时，可用工会经费予以适当弥补。</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（四）逢年过节或会员生日时向会员发放少量的慰问品的经费开支。根据《通知》关于“由工会组织</w:t>
      </w:r>
      <w:r w:rsidRPr="00D80769">
        <w:rPr>
          <w:rFonts w:ascii="仿宋_GB2312" w:eastAsia="仿宋_GB2312" w:hAnsi="Tahoma" w:cs="Tahoma" w:hint="eastAsia"/>
          <w:color w:val="333333"/>
          <w:kern w:val="0"/>
          <w:sz w:val="36"/>
          <w:szCs w:val="36"/>
        </w:rPr>
        <w:lastRenderedPageBreak/>
        <w:t>的职工集体福利等方面的支出，主要用于工会组织逢年过节向全体会员发放少量的节日慰问品”的规定，在国家规定的法定节日，指春节、元旦节、清明节、五一节、端午节、中秋节、国庆节，可以用工会经费发放符合节日习惯的物品和职工群众必需的生活物品等，全年发放总金额应控制在基层工会当年收入总额的30%以内，年人均发放金额标准不超过统计部门公布的上年度全省在岗职工年人均工资的5%。根据《通知》关于“基层工会组织用工会经费给予工会会员过生日慰问”的规定，在会员生日当月，可发放不超过200元的生日慰问品。</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三、相关要求</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各级工会要认真贯彻落实《中华人民共和国工会法》、《中国工会章程》和《工会预算管理办法》的规定，基层工会应单独设立银行账户，依法筹集、使用工会经费，实行工会经费独立核算，认真执行工会财务会计制度，编制工会年度收支预算，严格控制工会经费开支。工会举办活动项目要有具体方案和通知；购物发票要写明具体品名、数量、单价及购物清单，并附上参与人员名单，奖励物品、慰问品发放要有签领单，用餐要有用餐人员名单。举办文体比赛竞赛活动时不</w:t>
      </w:r>
      <w:r w:rsidRPr="00D80769">
        <w:rPr>
          <w:rFonts w:ascii="仿宋_GB2312" w:eastAsia="仿宋_GB2312" w:hAnsi="Tahoma" w:cs="Tahoma" w:hint="eastAsia"/>
          <w:color w:val="333333"/>
          <w:kern w:val="0"/>
          <w:sz w:val="36"/>
          <w:szCs w:val="36"/>
        </w:rPr>
        <w:lastRenderedPageBreak/>
        <w:t>可普发奖金；不可超范围超标准支出；行政对工会的补助款项列支渠道应符合国家有关规定，不可将应在行政列支的费用转到工会账户支出。</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县以上各级工会要加强对基层工会经费收支的管理和监督，定期进行财务收支检查，对违反规定和要求的行为，应及时予以纠正，情节严重的，严肃追究相关人员的责任，涉嫌违纪的提请纪检、监察机关处理。</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湖南省总工会办公室</w:t>
      </w:r>
    </w:p>
    <w:p w:rsidR="00D80769" w:rsidRPr="00D80769" w:rsidRDefault="00D80769" w:rsidP="00D80769">
      <w:pPr>
        <w:widowControl/>
        <w:wordWrap w:val="0"/>
        <w:spacing w:before="100" w:beforeAutospacing="1" w:after="100" w:afterAutospacing="1"/>
        <w:jc w:val="left"/>
        <w:rPr>
          <w:rFonts w:ascii="Tahoma" w:eastAsia="宋体" w:hAnsi="Tahoma" w:cs="Tahoma"/>
          <w:color w:val="333333"/>
          <w:kern w:val="0"/>
          <w:sz w:val="30"/>
          <w:szCs w:val="30"/>
        </w:rPr>
      </w:pP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w:t>
      </w:r>
      <w:r w:rsidRPr="00D80769">
        <w:rPr>
          <w:rFonts w:ascii="仿宋_GB2312" w:eastAsia="仿宋_GB2312" w:hAnsi="Tahoma" w:cs="Tahoma" w:hint="eastAsia"/>
          <w:color w:val="333333"/>
          <w:kern w:val="0"/>
          <w:sz w:val="36"/>
          <w:szCs w:val="36"/>
        </w:rPr>
        <w:t> </w:t>
      </w:r>
      <w:r w:rsidRPr="00D80769">
        <w:rPr>
          <w:rFonts w:ascii="仿宋_GB2312" w:eastAsia="仿宋_GB2312" w:hAnsi="Tahoma" w:cs="Tahoma" w:hint="eastAsia"/>
          <w:color w:val="333333"/>
          <w:kern w:val="0"/>
          <w:sz w:val="36"/>
          <w:szCs w:val="36"/>
        </w:rPr>
        <w:t xml:space="preserve"> 2015年2月11日</w:t>
      </w:r>
    </w:p>
    <w:p w:rsidR="009276DA" w:rsidRDefault="009276DA">
      <w:bookmarkStart w:id="0" w:name="_GoBack"/>
      <w:bookmarkEnd w:id="0"/>
    </w:p>
    <w:sectPr w:rsidR="00927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69"/>
    <w:rsid w:val="009276DA"/>
    <w:rsid w:val="00D8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07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769"/>
    <w:rPr>
      <w:rFonts w:ascii="宋体" w:eastAsia="宋体" w:hAnsi="宋体" w:cs="宋体"/>
      <w:b/>
      <w:bCs/>
      <w:kern w:val="36"/>
      <w:sz w:val="48"/>
      <w:szCs w:val="48"/>
    </w:rPr>
  </w:style>
  <w:style w:type="character" w:styleId="a3">
    <w:name w:val="Hyperlink"/>
    <w:basedOn w:val="a0"/>
    <w:uiPriority w:val="99"/>
    <w:semiHidden/>
    <w:unhideWhenUsed/>
    <w:rsid w:val="00D80769"/>
    <w:rPr>
      <w:strike w:val="0"/>
      <w:dstrike w:val="0"/>
      <w:color w:val="41519A"/>
      <w:u w:val="none"/>
      <w:effect w:val="none"/>
    </w:rPr>
  </w:style>
  <w:style w:type="paragraph" w:styleId="a4">
    <w:name w:val="Normal (Web)"/>
    <w:basedOn w:val="a"/>
    <w:uiPriority w:val="99"/>
    <w:semiHidden/>
    <w:unhideWhenUsed/>
    <w:rsid w:val="00D8076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07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769"/>
    <w:rPr>
      <w:rFonts w:ascii="宋体" w:eastAsia="宋体" w:hAnsi="宋体" w:cs="宋体"/>
      <w:b/>
      <w:bCs/>
      <w:kern w:val="36"/>
      <w:sz w:val="48"/>
      <w:szCs w:val="48"/>
    </w:rPr>
  </w:style>
  <w:style w:type="character" w:styleId="a3">
    <w:name w:val="Hyperlink"/>
    <w:basedOn w:val="a0"/>
    <w:uiPriority w:val="99"/>
    <w:semiHidden/>
    <w:unhideWhenUsed/>
    <w:rsid w:val="00D80769"/>
    <w:rPr>
      <w:strike w:val="0"/>
      <w:dstrike w:val="0"/>
      <w:color w:val="41519A"/>
      <w:u w:val="none"/>
      <w:effect w:val="none"/>
    </w:rPr>
  </w:style>
  <w:style w:type="paragraph" w:styleId="a4">
    <w:name w:val="Normal (Web)"/>
    <w:basedOn w:val="a"/>
    <w:uiPriority w:val="99"/>
    <w:semiHidden/>
    <w:unhideWhenUsed/>
    <w:rsid w:val="00D807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17154">
      <w:bodyDiv w:val="1"/>
      <w:marLeft w:val="0"/>
      <w:marRight w:val="0"/>
      <w:marTop w:val="0"/>
      <w:marBottom w:val="0"/>
      <w:divBdr>
        <w:top w:val="none" w:sz="0" w:space="0" w:color="auto"/>
        <w:left w:val="none" w:sz="0" w:space="0" w:color="auto"/>
        <w:bottom w:val="none" w:sz="0" w:space="0" w:color="auto"/>
        <w:right w:val="none" w:sz="0" w:space="0" w:color="auto"/>
      </w:divBdr>
      <w:divsChild>
        <w:div w:id="1923290351">
          <w:marLeft w:val="0"/>
          <w:marRight w:val="0"/>
          <w:marTop w:val="0"/>
          <w:marBottom w:val="0"/>
          <w:divBdr>
            <w:top w:val="none" w:sz="0" w:space="0" w:color="auto"/>
            <w:left w:val="none" w:sz="0" w:space="0" w:color="auto"/>
            <w:bottom w:val="none" w:sz="0" w:space="0" w:color="auto"/>
            <w:right w:val="none" w:sz="0" w:space="0" w:color="auto"/>
          </w:divBdr>
          <w:divsChild>
            <w:div w:id="1460494410">
              <w:marLeft w:val="0"/>
              <w:marRight w:val="0"/>
              <w:marTop w:val="0"/>
              <w:marBottom w:val="60"/>
              <w:divBdr>
                <w:top w:val="none" w:sz="0" w:space="0" w:color="auto"/>
                <w:left w:val="none" w:sz="0" w:space="0" w:color="auto"/>
                <w:bottom w:val="none" w:sz="0" w:space="0" w:color="auto"/>
                <w:right w:val="none" w:sz="0" w:space="0" w:color="auto"/>
              </w:divBdr>
              <w:divsChild>
                <w:div w:id="282351998">
                  <w:marLeft w:val="0"/>
                  <w:marRight w:val="0"/>
                  <w:marTop w:val="0"/>
                  <w:marBottom w:val="0"/>
                  <w:divBdr>
                    <w:top w:val="none" w:sz="0" w:space="0" w:color="auto"/>
                    <w:left w:val="none" w:sz="0" w:space="0" w:color="auto"/>
                    <w:bottom w:val="none" w:sz="0" w:space="0" w:color="auto"/>
                    <w:right w:val="none" w:sz="0" w:space="0" w:color="auto"/>
                  </w:divBdr>
                  <w:divsChild>
                    <w:div w:id="579755415">
                      <w:marLeft w:val="0"/>
                      <w:marRight w:val="0"/>
                      <w:marTop w:val="0"/>
                      <w:marBottom w:val="0"/>
                      <w:divBdr>
                        <w:top w:val="none" w:sz="0" w:space="0" w:color="auto"/>
                        <w:left w:val="none" w:sz="0" w:space="0" w:color="auto"/>
                        <w:bottom w:val="none" w:sz="0" w:space="0" w:color="auto"/>
                        <w:right w:val="none" w:sz="0" w:space="0" w:color="auto"/>
                      </w:divBdr>
                      <w:divsChild>
                        <w:div w:id="1524787038">
                          <w:marLeft w:val="0"/>
                          <w:marRight w:val="0"/>
                          <w:marTop w:val="0"/>
                          <w:marBottom w:val="0"/>
                          <w:divBdr>
                            <w:top w:val="none" w:sz="0" w:space="0" w:color="auto"/>
                            <w:left w:val="none" w:sz="0" w:space="0" w:color="auto"/>
                            <w:bottom w:val="none" w:sz="0" w:space="0" w:color="auto"/>
                            <w:right w:val="none" w:sz="0" w:space="0" w:color="auto"/>
                          </w:divBdr>
                          <w:divsChild>
                            <w:div w:id="8100514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ContentSize(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ContentSize(20)" TargetMode="External"/><Relationship Id="rId5" Type="http://schemas.openxmlformats.org/officeDocument/2006/relationships/hyperlink" Target="javascript:ContentSize(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339</Words>
  <Characters>1937</Characters>
  <Application>Microsoft Office Word</Application>
  <DocSecurity>0</DocSecurity>
  <Lines>16</Lines>
  <Paragraphs>4</Paragraphs>
  <ScaleCrop>false</ScaleCrop>
  <Company>微软中国</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徐四军</dc:creator>
  <cp:lastModifiedBy>徐四军</cp:lastModifiedBy>
  <cp:revision>1</cp:revision>
  <dcterms:created xsi:type="dcterms:W3CDTF">2017-09-14T01:17:00Z</dcterms:created>
  <dcterms:modified xsi:type="dcterms:W3CDTF">2017-09-14T01:19:00Z</dcterms:modified>
</cp:coreProperties>
</file>